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AD" w:rsidRDefault="00FA5BAD" w:rsidP="005A3EB7">
      <w:pPr>
        <w:spacing w:after="0" w:line="240" w:lineRule="auto"/>
        <w:rPr>
          <w:color w:val="2B2A32"/>
          <w:sz w:val="27"/>
          <w:szCs w:val="27"/>
          <w:shd w:val="clear" w:color="auto" w:fill="FFFFFF"/>
        </w:rPr>
      </w:pPr>
    </w:p>
    <w:p w:rsidR="005A3EB7" w:rsidRDefault="005A3EB7" w:rsidP="005A3EB7">
      <w:pPr>
        <w:spacing w:after="0" w:line="240" w:lineRule="auto"/>
        <w:rPr>
          <w:color w:val="2B2A32"/>
          <w:sz w:val="27"/>
          <w:szCs w:val="27"/>
          <w:shd w:val="clear" w:color="auto" w:fill="FFFFFF"/>
        </w:rPr>
      </w:pPr>
      <w:r>
        <w:rPr>
          <w:color w:val="2B2A32"/>
          <w:sz w:val="27"/>
          <w:szCs w:val="27"/>
          <w:shd w:val="clear" w:color="auto" w:fill="FFFFFF"/>
        </w:rPr>
        <w:t>Чем более творческая среда создана в образовательной организации, чем больше там педагогов с высоким уровнем развития личностного потенциала, тем более высокий уровень креативности демонстрируют дети, тем выше уровень их мотивации, тем интереснее им учиться и развиваться.</w:t>
      </w:r>
    </w:p>
    <w:p w:rsidR="00CF2255" w:rsidRDefault="00CF2255" w:rsidP="005A3EB7">
      <w:pPr>
        <w:spacing w:after="0" w:line="240" w:lineRule="auto"/>
        <w:rPr>
          <w:rFonts w:ascii="Arial" w:eastAsia="Times New Roman" w:hAnsi="Arial" w:cs="Arial"/>
          <w:color w:val="2B2A32"/>
          <w:kern w:val="36"/>
          <w:sz w:val="48"/>
          <w:szCs w:val="48"/>
          <w:lang w:eastAsia="ru-RU"/>
        </w:rPr>
      </w:pPr>
    </w:p>
    <w:p w:rsidR="005A3EB7" w:rsidRPr="005A3EB7" w:rsidRDefault="005A3EB7" w:rsidP="005A3EB7">
      <w:pPr>
        <w:spacing w:after="0" w:line="240" w:lineRule="auto"/>
        <w:rPr>
          <w:rFonts w:ascii="Arial" w:eastAsia="Times New Roman" w:hAnsi="Arial" w:cs="Arial"/>
          <w:color w:val="2B2A32"/>
          <w:kern w:val="36"/>
          <w:sz w:val="48"/>
          <w:szCs w:val="48"/>
          <w:lang w:eastAsia="ru-RU"/>
        </w:rPr>
      </w:pPr>
      <w:r w:rsidRPr="005A3EB7">
        <w:rPr>
          <w:rFonts w:ascii="Arial" w:eastAsia="Times New Roman" w:hAnsi="Arial" w:cs="Arial"/>
          <w:color w:val="2B2A32"/>
          <w:kern w:val="36"/>
          <w:sz w:val="48"/>
          <w:szCs w:val="48"/>
          <w:lang w:eastAsia="ru-RU"/>
        </w:rPr>
        <w:t>Эффекты программы</w:t>
      </w:r>
    </w:p>
    <w:p w:rsidR="005A3EB7" w:rsidRPr="005A3EB7" w:rsidRDefault="005A3EB7" w:rsidP="005A3EB7">
      <w:pPr>
        <w:pBdr>
          <w:left w:val="single" w:sz="24" w:space="19" w:color="37B44B"/>
        </w:pBdr>
        <w:spacing w:after="750" w:line="45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Предлагаем вашему вниманию результаты первых мониторинговых исследований эффектов Программы по развитию личностного потенциала, выявленные в образовательных организациях в 12 регионах-участниках (опыт участия в Программе не менее 1 года). В исследовании приняли участие педагоги и управленцы из 12 регионов и дети из 2 пилотных регионов.</w:t>
      </w:r>
    </w:p>
    <w:p w:rsidR="005A3EB7" w:rsidRPr="005A3EB7" w:rsidRDefault="005A3EB7" w:rsidP="005A3EB7">
      <w:pPr>
        <w:spacing w:after="0" w:line="345" w:lineRule="atLeast"/>
        <w:rPr>
          <w:rFonts w:ascii="Arial" w:eastAsia="Times New Roman" w:hAnsi="Arial" w:cs="Arial"/>
          <w:color w:val="2B2A32"/>
          <w:sz w:val="33"/>
          <w:szCs w:val="33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link1" w:history="1">
        <w:r w:rsidRPr="005A3EB7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lang w:eastAsia="ru-RU"/>
          </w:rPr>
          <w:t>- Изменения в управленцах и педагогах</w:t>
        </w:r>
      </w:hyperlink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anchor="link2" w:history="1">
        <w:r w:rsidRPr="005A3EB7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lang w:eastAsia="ru-RU"/>
          </w:rPr>
          <w:t>- Изменения в детях</w:t>
        </w:r>
      </w:hyperlink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anchor="link3" w:history="1">
        <w:r w:rsidRPr="005A3EB7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lang w:eastAsia="ru-RU"/>
          </w:rPr>
          <w:t>- Изменения в образовательной среде</w:t>
        </w:r>
      </w:hyperlink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anchor="link4" w:history="1">
        <w:r w:rsidRPr="005A3EB7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lang w:eastAsia="ru-RU"/>
          </w:rPr>
          <w:t xml:space="preserve">- Методология и </w:t>
        </w:r>
        <w:proofErr w:type="spellStart"/>
        <w:r w:rsidRPr="005A3EB7">
          <w:rPr>
            <w:rFonts w:ascii="Times New Roman" w:eastAsia="Times New Roman" w:hAnsi="Times New Roman" w:cs="Times New Roman"/>
            <w:color w:val="FF8C00"/>
            <w:sz w:val="24"/>
            <w:szCs w:val="24"/>
            <w:u w:val="single"/>
            <w:lang w:eastAsia="ru-RU"/>
          </w:rPr>
          <w:t>ислледования</w:t>
        </w:r>
        <w:proofErr w:type="spellEnd"/>
      </w:hyperlink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link1"/>
      <w:r w:rsidRPr="005A3EB7">
        <w:rPr>
          <w:rFonts w:ascii="Arial" w:eastAsia="Times New Roman" w:hAnsi="Arial" w:cs="Arial"/>
          <w:color w:val="FF8C00"/>
          <w:sz w:val="33"/>
          <w:szCs w:val="33"/>
          <w:lang w:eastAsia="ru-RU"/>
        </w:rPr>
        <w:t>Изменения в управленцах и педагогах</w:t>
      </w:r>
      <w:bookmarkEnd w:id="0"/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изменений личностного потенциала управленцев и педагогов, проводившиеся в 2020-2021 годах, выявили рост ключевых характеристик личностного потенциала.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Рост жизнестойкости управленцев и педагогов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исследования у педагогов зафиксирован значительный рост вовлеченности (фактор жизнестойкости). Высокий уровень данной характеристики личностного потенциала предполагает, что управленец/педагог понимает, что он делает; осознает свою важную роль в общем деле, собственный интерес нем; видит перспективы и пространство для дальнейшего личного роста.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Снижение установки на </w:t>
      </w:r>
      <w:proofErr w:type="spellStart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заданность</w:t>
      </w:r>
      <w:proofErr w:type="spellEnd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неизменяемость способностей (</w:t>
      </w:r>
      <w:proofErr w:type="spellStart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Fixed</w:t>
      </w:r>
      <w:proofErr w:type="spellEnd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Mindset</w:t>
      </w:r>
      <w:proofErr w:type="spellEnd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Отказываясь от стихийно сформированного мнения о том, что есть изначально умные и изначально менее одаренные, участники Программы стали чаще придерживаться идеи, 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интеллектуальные способности можно развивать и совершенствовать благодаря усилиям и среде. Такой педагог не создает вредных интеллектуальных «гетто» в классе, дает более полезную обратную связь, демонстрирует, как продуктивно относиться к ошибкам, что, в свою очередь, помогает и учащимся не бояться решать сложные задачи и верить в свои силы.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Рост профессиональной мотивации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исследования у управленцев выросли также ответственность,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самоэффективность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системная («хорошая») рефлексия, отмечено снижение интроспекции («плохой» рефлексии</w:t>
      </w:r>
      <w:proofErr w:type="gram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  <w:proofErr w:type="gramEnd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характеристик личностного потенциала в управленцах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580" cy="1914525"/>
            <wp:effectExtent l="0" t="0" r="6350" b="0"/>
            <wp:docPr id="14" name="Рисунок 14" descr="Слайд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айд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41" cy="19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исследование зафиксировало изменение стиля педагогического общения. В частности, отмечен переход от доминирования, отстранения, требовательности со стороны педагога, которые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демотивируют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- к поддержке его автономии, активности и базовых психологических потребностей. Такой более продуктивный подход предполагает учет интересов ученика, его большее вовлечение в учебную деятельность, а также структурирующую, направляющую, помогающую позицию учителя.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изменений характеристик личностного потенциала в педагогах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5A3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1354043"/>
            <wp:effectExtent l="0" t="0" r="0" b="0"/>
            <wp:docPr id="13" name="Рисунок 13" descr="Слайд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айд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99" cy="13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 xml:space="preserve">* За 1 год участия в программе педагоги показали положительную динамику 4 ИЗ 10 исследуемых </w:t>
      </w:r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lastRenderedPageBreak/>
        <w:t>характеристик. Использованы диагностические методики м/н лаборатории позитивной психологии личности и мотивации НИУ ВШЭ.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исследовании приняли участие 177 управленцев и педагогов из 10 регионов–участников (Ульяновская, Липецкая, Нижегородская, Воронежская, Калужская и Ярославская области, Красноярский и Алтайский край, Республики Башкортостан и Татарстан).</w:t>
      </w:r>
    </w:p>
    <w:p w:rsidR="005A3EB7" w:rsidRPr="005A3EB7" w:rsidRDefault="005A3EB7" w:rsidP="005A3EB7">
      <w:pPr>
        <w:spacing w:before="100" w:beforeAutospacing="1" w:after="100" w:afterAutospacing="1" w:line="480" w:lineRule="atLeast"/>
        <w:outlineLvl w:val="3"/>
        <w:rPr>
          <w:rFonts w:ascii="Arial" w:eastAsia="Times New Roman" w:hAnsi="Arial" w:cs="Arial"/>
          <w:color w:val="2B2A32"/>
          <w:sz w:val="33"/>
          <w:szCs w:val="33"/>
          <w:lang w:eastAsia="ru-RU"/>
        </w:rPr>
      </w:pPr>
      <w:bookmarkStart w:id="2" w:name="link2"/>
      <w:r w:rsidRPr="005A3EB7">
        <w:rPr>
          <w:rFonts w:ascii="Arial" w:eastAsia="Times New Roman" w:hAnsi="Arial" w:cs="Arial"/>
          <w:color w:val="FF8C00"/>
          <w:sz w:val="33"/>
          <w:szCs w:val="33"/>
          <w:lang w:eastAsia="ru-RU"/>
        </w:rPr>
        <w:t>Изменения в детях</w:t>
      </w:r>
      <w:bookmarkEnd w:id="2"/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исследований выявлены устойчивые взаимосвязи характеристик личностного потенциала педагогов, развиваемых и исследуемых в рамках Программы, и результатов детей.</w:t>
      </w:r>
    </w:p>
    <w:p w:rsidR="005A3EB7" w:rsidRPr="005A3EB7" w:rsidRDefault="005A3EB7" w:rsidP="005A3EB7">
      <w:pPr>
        <w:numPr>
          <w:ilvl w:val="0"/>
          <w:numId w:val="3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Обнаружена взаимосвязь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достижения цели, навыков работы с другими, управления эмоциями у учащихся начальной школы и аспектов личностного потенциала их педагогов: толерантность к неопределенности, мировоззренческая активность, ответственность, жизненная позиция личности, установки относительно изменяемости интеллекта и способностей, используемые стили педагогического общения.</w:t>
      </w:r>
    </w:p>
    <w:p w:rsidR="005A3EB7" w:rsidRPr="005A3EB7" w:rsidRDefault="005A3EB7" w:rsidP="005A3EB7">
      <w:pPr>
        <w:numPr>
          <w:ilvl w:val="0"/>
          <w:numId w:val="3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 корреляция высокой мотивации педагога и подростка.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важные характеристики педагога и управленца, оказывающие положительное влияние на детей, улучшаются в процессе реализации Программы (мотивация, толерантность к неопределенности, ответственность, стиль педагогического общения и теория интеллекта), есть основания предполагать, что и результаты детей со временем будут улучшаться.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График, отображающий связь личностного потенциала педагога и результатов учащихся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0275" cy="1938798"/>
            <wp:effectExtent l="0" t="0" r="0" b="4445"/>
            <wp:docPr id="12" name="Рисунок 12" descr="Слайд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айд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01" cy="1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* В исследовании приняли участие 1966 детей (900 1-классников и 1066 2-классников) и 87 педагогов из 52 школ 11 регионов присутствия Программы. В исследовании приняли участие 2183 учащихся 8 классов из 60 школ 11 регионов присутствия Программы.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исследовании приняли участие 1 966 учащихся начальной школы (900 первоклассников и 1 066 второклассников) и 87 педагогов из 52 школ, а также 2 183 учащихся 8 классов из 60 школ 11 регионов присутствия Программы по развитию личностного потенциала.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сравнительного исследования компетенций 4К учеников, чьи учителя проходили обучение по Программе, и учеников тех же школ, чьи учителя не проходили обучение, свидетельствуют, что компетенции 4К достоверно выше у учащихся, чьи учителя проходили обучение по программе РЛП. При этом разрыв в результатах измерений между экспериментальной и контрольной группой от 4 к 8 классу увеличивается, охватывая новые компетенции.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классах (400 учащихся в контрольной группе и 150 в экспериментальной) у учеников учителей Программы сильнее выражена способность к формулированию собственного вывода (составляющая компетенции Критическое мышление) по сравнению с учениками, чьи учителя не проходили обучение.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классах (800 учащихся в контрольной группе и 300 в экспериментальной) ученики классов, чьи учителя проходили обучение по Программе, показывают более высокие результаты по компетенциям критическое мышление, коммуникация и кооперация по сравнению с учениками, чьи учителя не проходили обучение.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классах (250 в контрольной группе и 70 в экспериментальной) ученики, чьи учителя проходили обучение, показывают более высокие результаты по всем четырем компетенциям - критическое мышление, креативность, коммуникация и кооперация - по сравнению с учениками, чьи учителя не проходили обучение.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сравнительного анализа </w:t>
      </w:r>
      <w:proofErr w:type="spellStart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компетенций 4К у учащихся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2318180"/>
            <wp:effectExtent l="0" t="0" r="0" b="6350"/>
            <wp:docPr id="11" name="Рисунок 11" descr="Слайд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лайд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0" cy="232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 xml:space="preserve">* Результаты сравнительного исследования измерения компетенций 4К учеников-участников и </w:t>
      </w:r>
      <w:proofErr w:type="spellStart"/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неучастников</w:t>
      </w:r>
      <w:proofErr w:type="spellEnd"/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 xml:space="preserve"> Программы по развитию личностного потенциала. (средний факторный балл). В исследовании </w:t>
      </w:r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lastRenderedPageBreak/>
        <w:t>приняли участие учащиеся начальной и основной школы Ярославской и Калужской областей. Институт образования НИУ ВШЭ, 2020</w:t>
      </w:r>
    </w:p>
    <w:p w:rsidR="005A3EB7" w:rsidRPr="005A3EB7" w:rsidRDefault="005A3EB7" w:rsidP="005A3EB7">
      <w:pPr>
        <w:spacing w:before="100" w:beforeAutospacing="1" w:after="100" w:afterAutospacing="1" w:line="480" w:lineRule="atLeast"/>
        <w:outlineLvl w:val="3"/>
        <w:rPr>
          <w:rFonts w:ascii="Arial" w:eastAsia="Times New Roman" w:hAnsi="Arial" w:cs="Arial"/>
          <w:color w:val="2B2A32"/>
          <w:sz w:val="33"/>
          <w:szCs w:val="33"/>
          <w:lang w:eastAsia="ru-RU"/>
        </w:rPr>
      </w:pPr>
      <w:bookmarkStart w:id="3" w:name="link3"/>
      <w:r w:rsidRPr="005A3EB7">
        <w:rPr>
          <w:rFonts w:ascii="Arial" w:eastAsia="Times New Roman" w:hAnsi="Arial" w:cs="Arial"/>
          <w:color w:val="FF8C00"/>
          <w:sz w:val="33"/>
          <w:szCs w:val="33"/>
          <w:lang w:eastAsia="ru-RU"/>
        </w:rPr>
        <w:t>Изменения в образовательной среде</w:t>
      </w:r>
      <w:bookmarkEnd w:id="3"/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одного года участия в Программе в образовательных организациях-участниках наблюдается увеличение доли творческой среды почти на 8 пунктов за счет догматической и карьерной, а также рост всех параметров личностно-развивающей среды, положительно влияющих на личностное развитие учащихся: широта, безопасность, мобильность,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осознаваемость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эмоциональность и др.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изменений образовательной среды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96625" cy="4600575"/>
            <wp:effectExtent l="0" t="0" r="9525" b="9525"/>
            <wp:docPr id="10" name="Рисунок 10" descr="Слайд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лайд5-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EB7">
        <w:rPr>
          <w:rFonts w:ascii="Times New Roman" w:eastAsia="Times New Roman" w:hAnsi="Times New Roman" w:cs="Times New Roman"/>
          <w:color w:val="707070"/>
          <w:sz w:val="20"/>
          <w:szCs w:val="20"/>
          <w:lang w:eastAsia="ru-RU"/>
        </w:rPr>
        <w:t>* Участие образовательных организаций в Программе за 1 год позволяет достичь положительной динамики во всех показателях образовательной среды и увеличения доли творческой среды и среды свободы. В исследовании принимали участие 9 ОО Калужской области и 8 ОО Ярославской области.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исследовании приняли участие 17 образовательных организаций Калужской и Ярославской области, 9 образовательных организаций ХМАО, 8 образовательных 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Калининградской области, 9 образовательных организаций Алтайского края и 12 образовательных организаций Липецкой области (2020-2021 гг.).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выявило корреляцию между модальностью (соотношением творческого, безмятежного, догматического и карьерного типов) школьной среды и уровнем креативности учащихся на выпуске из начальной школы:</w:t>
      </w:r>
    </w:p>
    <w:p w:rsidR="005A3EB7" w:rsidRPr="005A3EB7" w:rsidRDefault="005A3EB7" w:rsidP="005A3EB7">
      <w:pPr>
        <w:numPr>
          <w:ilvl w:val="0"/>
          <w:numId w:val="4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доля творческой среды и среды свободы, тем больше количество учащихся с продвинутым уровнем креативности.</w:t>
      </w:r>
    </w:p>
    <w:p w:rsidR="005A3EB7" w:rsidRPr="005A3EB7" w:rsidRDefault="005A3EB7" w:rsidP="005A3EB7">
      <w:pPr>
        <w:numPr>
          <w:ilvl w:val="0"/>
          <w:numId w:val="4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доля среды свободы, тем больше учащихся с продвинутым уровнем детальности (умением тщательно продумать решение проблемы и детально проработать его, создав целостный образ).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исследовании приняли участие 13 школ Калужской и Ярославской областей, в которых в диагностике креативности приняли участие 466 учащихся 4 классов. Тип среды определялся посредством экспертной оценки сотрудниками и учащимися школ по методикам В.А. 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Ясвина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креативности учащихся использовался автоматизированный инструмент мониторинга 4К.</w:t>
      </w:r>
    </w:p>
    <w:p w:rsid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3EB7" w:rsidRP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«Прежде всего изменились педагоги – они стали более живыми, открытыми, начали использовать разнообразные педагогические техники, приемы в работе с детьми, но самое интересное нас ожидало впереди. …Эффект от Программы оказался более глобальным – начала меняться вся система. То, что получается сделать в рамках наших региональных проектов и Программы, постепенно входит в нашу педагогическую практику и становится ориентиром для изменений в образовании всего региона».</w:t>
      </w:r>
    </w:p>
    <w:p w:rsid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3EB7" w:rsidRP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«Программа дает возможность взглянуть на обычные моменты под другим углом, увидеть иной смысл, над которым и не задумывался. Меняет взаимоотношение с окружающими. Помогает чувствовать себя уверенной и позитивной».</w:t>
      </w:r>
    </w:p>
    <w:p w:rsidR="005A3EB7" w:rsidRP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«Этот проект - шанс уйти от формализма, превзойти рутину, скуку, обрести профессиональное счастье, почувствовать, что рука ребёнка в твоей. Ты только не тормози - внедряй сразу, чтоб голова не лопнула от идей. И сразу получай удовольствие от процесса! Это и есть возможность пробовать возможности на вкус!»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B7" w:rsidRP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 xml:space="preserve"> «Проект удачно продолжил вектор развития </w:t>
      </w:r>
      <w:proofErr w:type="spellStart"/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пролицея</w:t>
      </w:r>
      <w:proofErr w:type="spellEnd"/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 создание уклада, заданного ранее программой развития, и стал ответом на вопросы: что и зачем необходимо изменить в </w:t>
      </w:r>
      <w:proofErr w:type="spellStart"/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пролицее</w:t>
      </w:r>
      <w:proofErr w:type="spellEnd"/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во благо всех участников образовательного процесса и пользой для социума? Логика обучения кадров в рамках Программы помогает управленческой команде не остаться наедине с ворохом мыслей и идей».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EB7" w:rsidRPr="005A3EB7" w:rsidRDefault="005A3EB7" w:rsidP="005A3EB7">
      <w:pPr>
        <w:spacing w:after="150" w:line="36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«Прежде всего изменились педагоги – они стали более живыми, открытыми, начали использовать разнообразные педагогические техники, приемы в работе с детьми, но самое интересное нас ожидало впереди. …Эффект от Программы оказался более глобальным – начала меняться вся система. То, что получается сделать в рамках наших региональных проектов и Программы, постепенно входит в нашу педагогическую практику и становится ориентиром для изменений в образовании всего региона».</w:t>
      </w:r>
    </w:p>
    <w:p w:rsidR="005A3EB7" w:rsidRPr="005A3EB7" w:rsidRDefault="005A3EB7" w:rsidP="005A3EB7">
      <w:pPr>
        <w:spacing w:before="100" w:beforeAutospacing="1" w:after="100" w:afterAutospacing="1" w:line="480" w:lineRule="atLeast"/>
        <w:outlineLvl w:val="3"/>
        <w:rPr>
          <w:rFonts w:ascii="Arial" w:eastAsia="Times New Roman" w:hAnsi="Arial" w:cs="Arial"/>
          <w:color w:val="2B2A32"/>
          <w:sz w:val="33"/>
          <w:szCs w:val="33"/>
          <w:lang w:eastAsia="ru-RU"/>
        </w:rPr>
      </w:pPr>
      <w:bookmarkStart w:id="4" w:name="link4"/>
      <w:r w:rsidRPr="005A3EB7">
        <w:rPr>
          <w:rFonts w:ascii="Arial" w:eastAsia="Times New Roman" w:hAnsi="Arial" w:cs="Arial"/>
          <w:color w:val="FF8C00"/>
          <w:sz w:val="33"/>
          <w:szCs w:val="33"/>
          <w:lang w:eastAsia="ru-RU"/>
        </w:rPr>
        <w:t>Методология и исследования</w:t>
      </w:r>
      <w:bookmarkEnd w:id="4"/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исследований используется широкий спектр методик, подобранных научно-исследовательскими коллективами НИУ ВШЭ и МГПУ.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Исследуемые характеристики управленцев и педагогов: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Имплицитные теории интеллекта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представления об интеллекте и его природе. Выделяют теорию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заданности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 как постоянное, фиксированное, мало изменяемое свойство) и прибыльную теорию/теорию приращения (интеллект представляет собой изменяемое свойство, которое «прирастает» в процессе обучения, зависит от вложенных усилий, поддается развитию и улучшению). Согласно многочисленным исследованиям, эти установки являются важнейшим фактором в обучении – учителя с установками на приращение дают более конструктивную обратную связь, учат детей не бояться ошибаться, не бояться сложных задач и т.д.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 профессиональной мотивации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чем мотивированы педагоги и управленцы в своей работе? Мотивация бывает «хорошая» (продуктивная, автономная) и «плохая». Хорошо, когда к работе мотивирует удовольствие от самого процесса, признание его важности и значимости для реализации других личных целей. Гораздо хуже, когда мотивирующими факторами становятся чувства стыда и вины, страх наказания, кнут и пряник. Еще более тревожным показателем может быть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амотивация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отсутствие мотивации.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Жизнестойкость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система убеждений, препятствующих стрессу и нарушению здоровья в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стрессогенных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ситуациях, которая включает в себя: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- вовлеченность: установка на участие в происходящих событиях - убеждение человека в 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том, что только будучи активным, он сможет найти в мире то, что ему важно;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контроль: установка на активность по отношению к событиям жизни – уверенность, что с любой проблемой можно справиться, если быть активным, бороться и преодолевать сложности;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принятие риска: установка по отношению к трудным или новым ситуациям, когда последние рассматриваются как вызовы, а также как возможность получить новый опыт и чему-то научиться.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бывает «хорошая» и «плохая». Хорошо, когда рефлексия системная - основанная на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самодистанцировании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взгляде на себя и ситуацию со стороны. Хуже, когда это интроспекция-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самокопание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фокусом внимания становится только собственное внутреннее переживание, или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квазирефлексия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-фантазирование, направленное на объект, не имеющий отношения к актуальной жизненной ситуации, уход в посторонние размышления.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 к неопределенности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открытость, готовность к вызовам неопределенности, постоянным изменениям, сложности.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Профессиональная </w:t>
      </w:r>
      <w:proofErr w:type="spellStart"/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самоэффективность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вера в то, что «я могу».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личности к своей жизни 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осознанное, активное, присутствует ощущение гармонии.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Мировоззренческая активность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Субъективное благополучие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 интеллект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пилотных регионах)</w:t>
      </w:r>
    </w:p>
    <w:p w:rsidR="005A3EB7" w:rsidRPr="005A3EB7" w:rsidRDefault="005A3EB7" w:rsidP="005A3EB7">
      <w:pPr>
        <w:numPr>
          <w:ilvl w:val="0"/>
          <w:numId w:val="5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 педагогического общения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выявление преобладающих стилей общения педагогов с учениками во время урока в виде профиля: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поддержка автономии, включающая активно участвующий стиль взаимодействия с ребенком на уроке и подстраивающийся к интересам учащихся стиль;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- </w:t>
      </w:r>
      <w:proofErr w:type="spellStart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cтруктура</w:t>
      </w:r>
      <w:proofErr w:type="spellEnd"/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направляющий стиль взаимодействия и объясняющий (помогающий) стиль;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контроль - требовательный стиль взаимодействия с ребенком на уроке и деспотический/доминирующий стиль;</w:t>
      </w: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хаос - отстраняющийся и выжидающий стили педагогического общения.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Исследуемые характеристики детей: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социально-эмоциональные навыки;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4К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мотивация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настойчивость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сотрудничество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удовлетворенность базовых потребностей (компетентность, автономия, поддержка)</w:t>
      </w:r>
    </w:p>
    <w:p w:rsidR="005A3EB7" w:rsidRPr="005A3EB7" w:rsidRDefault="005A3EB7" w:rsidP="005A3EB7">
      <w:pPr>
        <w:numPr>
          <w:ilvl w:val="0"/>
          <w:numId w:val="6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субъективное благополучие (счастье)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Исследование среды:</w:t>
      </w:r>
    </w:p>
    <w:p w:rsidR="005A3EB7" w:rsidRPr="005A3EB7" w:rsidRDefault="005A3EB7" w:rsidP="005A3EB7">
      <w:pPr>
        <w:spacing w:before="100" w:beforeAutospacing="1" w:after="34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мониторинга образовательной среды используется комплекс, оценивающий обширный список параметров среды, касающихся всех ее составляющих:</w:t>
      </w:r>
    </w:p>
    <w:p w:rsidR="005A3EB7" w:rsidRPr="005A3EB7" w:rsidRDefault="005A3EB7" w:rsidP="005A3EB7">
      <w:pPr>
        <w:numPr>
          <w:ilvl w:val="0"/>
          <w:numId w:val="7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взаимоотношений/психологического микроклимата;</w:t>
      </w:r>
    </w:p>
    <w:p w:rsidR="005A3EB7" w:rsidRPr="005A3EB7" w:rsidRDefault="005A3EB7" w:rsidP="005A3EB7">
      <w:pPr>
        <w:numPr>
          <w:ilvl w:val="0"/>
          <w:numId w:val="7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(физического окружения);</w:t>
      </w:r>
    </w:p>
    <w:p w:rsidR="005A3EB7" w:rsidRPr="005A3EB7" w:rsidRDefault="005A3EB7" w:rsidP="005A3EB7">
      <w:pPr>
        <w:numPr>
          <w:ilvl w:val="0"/>
          <w:numId w:val="7"/>
        </w:numPr>
        <w:spacing w:before="100" w:beforeAutospacing="1"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методов, технологий, регламентов и правил, структурирующих школьную жизнь.</w:t>
      </w:r>
    </w:p>
    <w:p w:rsidR="005A3EB7" w:rsidRPr="005A3EB7" w:rsidRDefault="005A3EB7" w:rsidP="005A3EB7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3EB7" w:rsidRPr="005A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99C"/>
    <w:multiLevelType w:val="multilevel"/>
    <w:tmpl w:val="1AE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598"/>
    <w:multiLevelType w:val="multilevel"/>
    <w:tmpl w:val="E47E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25664"/>
    <w:multiLevelType w:val="multilevel"/>
    <w:tmpl w:val="106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C2C7E"/>
    <w:multiLevelType w:val="multilevel"/>
    <w:tmpl w:val="27F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D113C"/>
    <w:multiLevelType w:val="multilevel"/>
    <w:tmpl w:val="B9EC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378D5"/>
    <w:multiLevelType w:val="multilevel"/>
    <w:tmpl w:val="A5C6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32656"/>
    <w:multiLevelType w:val="multilevel"/>
    <w:tmpl w:val="BC6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1A5D"/>
    <w:multiLevelType w:val="multilevel"/>
    <w:tmpl w:val="2FDE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D1E84"/>
    <w:multiLevelType w:val="multilevel"/>
    <w:tmpl w:val="AD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31D86"/>
    <w:multiLevelType w:val="multilevel"/>
    <w:tmpl w:val="C90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D50AD"/>
    <w:multiLevelType w:val="multilevel"/>
    <w:tmpl w:val="718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23EFD"/>
    <w:multiLevelType w:val="multilevel"/>
    <w:tmpl w:val="5F5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B7"/>
    <w:rsid w:val="000D27ED"/>
    <w:rsid w:val="00344CED"/>
    <w:rsid w:val="005A3EB7"/>
    <w:rsid w:val="009C3845"/>
    <w:rsid w:val="00B5422B"/>
    <w:rsid w:val="00CF2255"/>
    <w:rsid w:val="00EA1793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8A6-3916-4285-8B24-D5D36C7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3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A3E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E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3E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3EB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3E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3E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3E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3EB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lead">
    <w:name w:val="article__lead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5A3EB7"/>
    <w:rPr>
      <w:i/>
      <w:iCs/>
    </w:rPr>
  </w:style>
  <w:style w:type="character" w:customStyle="1" w:styleId="donationtext">
    <w:name w:val="donation__text"/>
    <w:basedOn w:val="a0"/>
    <w:rsid w:val="005A3EB7"/>
  </w:style>
  <w:style w:type="character" w:customStyle="1" w:styleId="select2-selectionrendered">
    <w:name w:val="select2-selection__rendered"/>
    <w:basedOn w:val="a0"/>
    <w:rsid w:val="005A3EB7"/>
  </w:style>
  <w:style w:type="paragraph" w:customStyle="1" w:styleId="contactstitle">
    <w:name w:val="contacts__title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address">
    <w:name w:val="contacts__address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phone">
    <w:name w:val="contacts__phone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title">
    <w:name w:val="social__title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footercopyright">
    <w:name w:val="main-footer__copyright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footertext">
    <w:name w:val="main-footer__text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footernote">
    <w:name w:val="main-footer__note"/>
    <w:basedOn w:val="a"/>
    <w:rsid w:val="005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37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8E8E8"/>
                      </w:divBdr>
                    </w:div>
                    <w:div w:id="1737118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4438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797621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45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4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95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59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72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8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2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2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44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363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88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3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448959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40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2649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02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5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53466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69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1958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48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95739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54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26405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12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3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7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05040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4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6446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63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2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2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27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512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17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0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17869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9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7502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76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3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8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71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004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13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27753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3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9291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80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8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2205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33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9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9536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09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7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0604">
                                                          <w:marLeft w:val="0"/>
                                                          <w:marRight w:val="6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87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140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8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4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144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22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7353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6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419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21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24">
                  <w:marLeft w:val="0"/>
                  <w:marRight w:val="0"/>
                  <w:marTop w:val="0"/>
                  <w:marBottom w:val="645"/>
                  <w:divBdr>
                    <w:top w:val="none" w:sz="0" w:space="0" w:color="auto"/>
                    <w:left w:val="none" w:sz="0" w:space="0" w:color="auto"/>
                    <w:bottom w:val="single" w:sz="6" w:space="2" w:color="3C3C3C"/>
                    <w:right w:val="none" w:sz="0" w:space="0" w:color="auto"/>
                  </w:divBdr>
                  <w:divsChild>
                    <w:div w:id="1388602608">
                      <w:marLeft w:val="0"/>
                      <w:marRight w:val="4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82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2945">
                      <w:marLeft w:val="0"/>
                      <w:marRight w:val="4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32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0316">
                  <w:marLeft w:val="0"/>
                  <w:marRight w:val="0"/>
                  <w:marTop w:val="0"/>
                  <w:marBottom w:val="645"/>
                  <w:divBdr>
                    <w:top w:val="none" w:sz="0" w:space="0" w:color="auto"/>
                    <w:left w:val="none" w:sz="0" w:space="0" w:color="auto"/>
                    <w:bottom w:val="single" w:sz="6" w:space="11" w:color="3C3C3C"/>
                    <w:right w:val="none" w:sz="0" w:space="0" w:color="auto"/>
                  </w:divBdr>
                  <w:divsChild>
                    <w:div w:id="14837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0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udushee.ru/education/programma-po-razvitiyu-lichnostnogo-potentsiala/effekty-programmy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vbudushee.ru/education/programma-po-razvitiyu-lichnostnogo-potentsiala/effekty-programmy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udushee.ru/education/programma-po-razvitiyu-lichnostnogo-potentsiala/effekty-programmy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vbudushee.ru/education/programma-po-razvitiyu-lichnostnogo-potentsiala/effekty-programmy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НАУМОВА</dc:creator>
  <cp:keywords/>
  <dc:description/>
  <cp:lastModifiedBy>СВЕТЛАНА НАУМОВА</cp:lastModifiedBy>
  <cp:revision>2</cp:revision>
  <dcterms:created xsi:type="dcterms:W3CDTF">2021-05-24T18:01:00Z</dcterms:created>
  <dcterms:modified xsi:type="dcterms:W3CDTF">2022-05-07T12:27:00Z</dcterms:modified>
</cp:coreProperties>
</file>